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23" w:rsidRPr="00B6381F" w:rsidRDefault="00D91C23" w:rsidP="00D91C23">
      <w:pPr>
        <w:spacing w:line="360" w:lineRule="auto"/>
        <w:jc w:val="center"/>
        <w:rPr>
          <w:rFonts w:ascii="仿宋" w:eastAsia="仿宋" w:hAnsi="仿宋" w:cs="宋体"/>
          <w:b/>
          <w:bCs/>
          <w:sz w:val="44"/>
          <w:szCs w:val="44"/>
        </w:rPr>
      </w:pPr>
      <w:r>
        <w:rPr>
          <w:rFonts w:ascii="仿宋" w:eastAsia="仿宋" w:hAnsi="仿宋" w:cs="宋体" w:hint="eastAsia"/>
          <w:b/>
          <w:bCs/>
          <w:sz w:val="44"/>
          <w:szCs w:val="44"/>
        </w:rPr>
        <w:t xml:space="preserve">技 术 </w:t>
      </w:r>
      <w:r w:rsidRPr="00B6381F">
        <w:rPr>
          <w:rFonts w:ascii="仿宋" w:eastAsia="仿宋" w:hAnsi="仿宋" w:cs="宋体" w:hint="eastAsia"/>
          <w:b/>
          <w:bCs/>
          <w:sz w:val="44"/>
          <w:szCs w:val="44"/>
        </w:rPr>
        <w:t>要</w:t>
      </w:r>
      <w:r>
        <w:rPr>
          <w:rFonts w:ascii="仿宋" w:eastAsia="仿宋" w:hAnsi="仿宋" w:cs="宋体" w:hint="eastAsia"/>
          <w:b/>
          <w:bCs/>
          <w:sz w:val="44"/>
          <w:szCs w:val="44"/>
        </w:rPr>
        <w:t xml:space="preserve"> </w:t>
      </w:r>
      <w:r w:rsidRPr="00B6381F">
        <w:rPr>
          <w:rFonts w:ascii="仿宋" w:eastAsia="仿宋" w:hAnsi="仿宋" w:cs="宋体" w:hint="eastAsia"/>
          <w:b/>
          <w:bCs/>
          <w:sz w:val="44"/>
          <w:szCs w:val="44"/>
        </w:rPr>
        <w:t>求</w:t>
      </w:r>
    </w:p>
    <w:p w:rsidR="00D91C23" w:rsidRPr="00B6381F" w:rsidRDefault="00D91C23" w:rsidP="00D91C23">
      <w:pPr>
        <w:spacing w:line="360" w:lineRule="auto"/>
        <w:outlineLvl w:val="0"/>
        <w:rPr>
          <w:rFonts w:ascii="仿宋" w:eastAsia="仿宋" w:hAnsi="仿宋" w:cs="宋体"/>
          <w:b/>
          <w:bCs/>
          <w:sz w:val="28"/>
          <w:szCs w:val="28"/>
        </w:rPr>
      </w:pPr>
      <w:r w:rsidRPr="00B6381F">
        <w:rPr>
          <w:rFonts w:ascii="仿宋" w:eastAsia="仿宋" w:hAnsi="仿宋" w:cs="宋体" w:hint="eastAsia"/>
          <w:b/>
          <w:bCs/>
          <w:sz w:val="28"/>
          <w:szCs w:val="28"/>
        </w:rPr>
        <w:t>一、总则</w:t>
      </w:r>
    </w:p>
    <w:p w:rsidR="00D91C23" w:rsidRPr="00A95642" w:rsidRDefault="00D91C23" w:rsidP="00D91C23">
      <w:pPr>
        <w:spacing w:line="360" w:lineRule="auto"/>
        <w:ind w:firstLineChars="200" w:firstLine="560"/>
        <w:rPr>
          <w:rFonts w:ascii="仿宋" w:eastAsia="仿宋" w:hAnsi="仿宋" w:cs="宋体"/>
          <w:sz w:val="28"/>
          <w:szCs w:val="28"/>
        </w:rPr>
      </w:pPr>
      <w:r w:rsidRPr="00A95642">
        <w:rPr>
          <w:rFonts w:ascii="仿宋" w:eastAsia="仿宋" w:hAnsi="仿宋" w:cs="宋体" w:hint="eastAsia"/>
          <w:sz w:val="28"/>
          <w:szCs w:val="28"/>
        </w:rPr>
        <w:t>1.本技术内容适用于福建福海创石油化工有限公司工控安全产品和服务的采购，它提出了工控安全产品和服务等方面的技术要求。</w:t>
      </w:r>
    </w:p>
    <w:p w:rsidR="00D91C23" w:rsidRPr="00A95642" w:rsidRDefault="00D91C23" w:rsidP="00D91C23">
      <w:pPr>
        <w:spacing w:line="360" w:lineRule="auto"/>
        <w:ind w:firstLineChars="200" w:firstLine="560"/>
        <w:rPr>
          <w:rFonts w:ascii="仿宋" w:eastAsia="仿宋" w:hAnsi="仿宋" w:cs="宋体"/>
          <w:sz w:val="28"/>
          <w:szCs w:val="28"/>
        </w:rPr>
      </w:pPr>
      <w:r w:rsidRPr="00A95642">
        <w:rPr>
          <w:rFonts w:ascii="仿宋" w:eastAsia="仿宋" w:hAnsi="仿宋" w:cs="宋体" w:hint="eastAsia"/>
          <w:sz w:val="28"/>
          <w:szCs w:val="28"/>
        </w:rPr>
        <w:t>2.招标方在本技术内容中提出了最低限度的技术要求，并未对一切技术细节做出规定，也未充分引述有关标准和规范的条文，投标方须按本技术内容和相关标准、规程、规范等提供高质量设计、设备及材料供货、施工安装、和性能试验等服务。对国家有关安全、健康、环保等强制性标准，必须满足其要求。</w:t>
      </w:r>
    </w:p>
    <w:p w:rsidR="00D91C23" w:rsidRPr="00A95642" w:rsidRDefault="00D91C23" w:rsidP="00D91C23">
      <w:pPr>
        <w:spacing w:line="360" w:lineRule="auto"/>
        <w:ind w:firstLineChars="200" w:firstLine="560"/>
        <w:rPr>
          <w:rFonts w:ascii="仿宋" w:eastAsia="仿宋" w:hAnsi="仿宋" w:cs="宋体"/>
          <w:sz w:val="28"/>
          <w:szCs w:val="28"/>
        </w:rPr>
      </w:pPr>
      <w:r w:rsidRPr="00A95642">
        <w:rPr>
          <w:rFonts w:ascii="仿宋" w:eastAsia="仿宋" w:hAnsi="仿宋" w:cs="宋体" w:hint="eastAsia"/>
          <w:sz w:val="28"/>
          <w:szCs w:val="28"/>
        </w:rPr>
        <w:t>3.投标</w:t>
      </w:r>
      <w:proofErr w:type="gramStart"/>
      <w:r w:rsidRPr="00A95642">
        <w:rPr>
          <w:rFonts w:ascii="仿宋" w:eastAsia="仿宋" w:hAnsi="仿宋" w:cs="宋体" w:hint="eastAsia"/>
          <w:sz w:val="28"/>
          <w:szCs w:val="28"/>
        </w:rPr>
        <w:t>方执行</w:t>
      </w:r>
      <w:proofErr w:type="gramEnd"/>
      <w:r w:rsidRPr="00A95642">
        <w:rPr>
          <w:rFonts w:ascii="仿宋" w:eastAsia="仿宋" w:hAnsi="仿宋" w:cs="宋体" w:hint="eastAsia"/>
          <w:sz w:val="28"/>
          <w:szCs w:val="28"/>
        </w:rPr>
        <w:t>本技术内容所列标准，有不一致时，按较高标准执行。投标方在项目设计、设备制造和施工安装中所涉及的各项规程，规范和标准遵循现行最新标准的版本。</w:t>
      </w:r>
    </w:p>
    <w:p w:rsidR="00D91C23" w:rsidRPr="00A95642" w:rsidRDefault="00D91C23" w:rsidP="00D91C23">
      <w:pPr>
        <w:spacing w:line="360" w:lineRule="auto"/>
        <w:ind w:firstLineChars="200" w:firstLine="560"/>
        <w:rPr>
          <w:rFonts w:ascii="仿宋" w:eastAsia="仿宋" w:hAnsi="仿宋" w:cs="宋体"/>
          <w:sz w:val="28"/>
          <w:szCs w:val="28"/>
        </w:rPr>
      </w:pPr>
      <w:r w:rsidRPr="00A95642">
        <w:rPr>
          <w:rFonts w:ascii="仿宋" w:eastAsia="仿宋" w:hAnsi="仿宋" w:cs="宋体" w:hint="eastAsia"/>
          <w:sz w:val="28"/>
          <w:szCs w:val="28"/>
        </w:rPr>
        <w:t>4.合同生效后，投标方所提供的方案（安装、调试、试验），须经招标方审查确认后方可实施。</w:t>
      </w:r>
    </w:p>
    <w:p w:rsidR="00D91C23" w:rsidRDefault="00D91C23" w:rsidP="00D91C23">
      <w:pPr>
        <w:spacing w:line="360" w:lineRule="auto"/>
        <w:ind w:firstLineChars="200" w:firstLine="560"/>
        <w:rPr>
          <w:rFonts w:ascii="仿宋" w:eastAsia="仿宋" w:hAnsi="仿宋" w:cs="宋体"/>
          <w:sz w:val="28"/>
          <w:szCs w:val="28"/>
        </w:rPr>
      </w:pPr>
      <w:r w:rsidRPr="00A95642">
        <w:rPr>
          <w:rFonts w:ascii="仿宋" w:eastAsia="仿宋" w:hAnsi="仿宋" w:cs="宋体" w:hint="eastAsia"/>
          <w:sz w:val="28"/>
          <w:szCs w:val="28"/>
        </w:rPr>
        <w:t>5.未尽事宜双方协商解决。</w:t>
      </w:r>
    </w:p>
    <w:p w:rsidR="00D91C23" w:rsidRPr="00B6381F" w:rsidRDefault="00D91C23" w:rsidP="00D91C23">
      <w:pPr>
        <w:outlineLvl w:val="0"/>
        <w:rPr>
          <w:rFonts w:ascii="仿宋" w:eastAsia="仿宋" w:hAnsi="仿宋" w:cs="宋体"/>
          <w:b/>
          <w:bCs/>
          <w:sz w:val="28"/>
          <w:szCs w:val="28"/>
        </w:rPr>
      </w:pPr>
      <w:r w:rsidRPr="00B6381F">
        <w:rPr>
          <w:rFonts w:ascii="仿宋" w:eastAsia="仿宋" w:hAnsi="仿宋" w:cs="宋体" w:hint="eastAsia"/>
          <w:b/>
          <w:bCs/>
          <w:sz w:val="28"/>
          <w:szCs w:val="28"/>
        </w:rPr>
        <w:t>二、</w:t>
      </w:r>
      <w:r w:rsidRPr="00B6381F">
        <w:rPr>
          <w:rFonts w:ascii="仿宋" w:eastAsia="仿宋" w:hAnsi="仿宋" w:cs="宋体"/>
          <w:b/>
          <w:bCs/>
          <w:sz w:val="28"/>
          <w:szCs w:val="28"/>
        </w:rPr>
        <w:t>招标内容</w:t>
      </w:r>
    </w:p>
    <w:tbl>
      <w:tblPr>
        <w:tblW w:w="933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4"/>
        <w:gridCol w:w="1078"/>
        <w:gridCol w:w="1804"/>
        <w:gridCol w:w="1842"/>
        <w:gridCol w:w="3686"/>
      </w:tblGrid>
      <w:tr w:rsidR="00D91C23" w:rsidRPr="00A95642" w:rsidTr="003F10E0">
        <w:trPr>
          <w:trHeight w:val="1060"/>
        </w:trPr>
        <w:tc>
          <w:tcPr>
            <w:tcW w:w="924" w:type="dxa"/>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合同包</w:t>
            </w:r>
          </w:p>
        </w:tc>
        <w:tc>
          <w:tcPr>
            <w:tcW w:w="1078" w:type="dxa"/>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品目号</w:t>
            </w:r>
          </w:p>
        </w:tc>
        <w:tc>
          <w:tcPr>
            <w:tcW w:w="1804" w:type="dxa"/>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品名</w:t>
            </w:r>
          </w:p>
        </w:tc>
        <w:tc>
          <w:tcPr>
            <w:tcW w:w="1842" w:type="dxa"/>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采购数量</w:t>
            </w:r>
          </w:p>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（单位:套）</w:t>
            </w:r>
          </w:p>
        </w:tc>
        <w:tc>
          <w:tcPr>
            <w:tcW w:w="3686" w:type="dxa"/>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规格型号及技术参数</w:t>
            </w:r>
          </w:p>
        </w:tc>
      </w:tr>
      <w:tr w:rsidR="00D91C23" w:rsidRPr="00A95642" w:rsidTr="003F10E0">
        <w:trPr>
          <w:trHeight w:val="720"/>
        </w:trPr>
        <w:tc>
          <w:tcPr>
            <w:tcW w:w="924" w:type="dxa"/>
            <w:vMerge w:val="restart"/>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w:t>
            </w:r>
          </w:p>
        </w:tc>
        <w:tc>
          <w:tcPr>
            <w:tcW w:w="1078"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1-1</w:t>
            </w:r>
          </w:p>
        </w:tc>
        <w:tc>
          <w:tcPr>
            <w:tcW w:w="1804" w:type="dxa"/>
            <w:vAlign w:val="center"/>
          </w:tcPr>
          <w:p w:rsidR="00D91C23" w:rsidRPr="00A95642" w:rsidRDefault="00D91C23" w:rsidP="003F10E0">
            <w:pPr>
              <w:rPr>
                <w:rFonts w:ascii="仿宋" w:eastAsia="仿宋" w:hAnsi="仿宋" w:cs="宋体"/>
                <w:sz w:val="28"/>
                <w:szCs w:val="28"/>
              </w:rPr>
            </w:pPr>
            <w:proofErr w:type="gramStart"/>
            <w:r w:rsidRPr="00A95642">
              <w:rPr>
                <w:rFonts w:ascii="仿宋" w:eastAsia="仿宋" w:hAnsi="仿宋" w:cs="宋体"/>
                <w:sz w:val="28"/>
                <w:szCs w:val="28"/>
              </w:rPr>
              <w:t>工控网闸</w:t>
            </w:r>
            <w:proofErr w:type="gramEnd"/>
          </w:p>
        </w:tc>
        <w:tc>
          <w:tcPr>
            <w:tcW w:w="1842"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5</w:t>
            </w:r>
          </w:p>
        </w:tc>
        <w:tc>
          <w:tcPr>
            <w:tcW w:w="3686" w:type="dxa"/>
            <w:vMerge w:val="restart"/>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详见招标文件第三章“</w:t>
            </w:r>
            <w:r>
              <w:rPr>
                <w:rFonts w:ascii="仿宋" w:eastAsia="仿宋" w:hAnsi="仿宋" w:cs="宋体" w:hint="eastAsia"/>
                <w:sz w:val="28"/>
                <w:szCs w:val="28"/>
              </w:rPr>
              <w:t>产品</w:t>
            </w:r>
            <w:r w:rsidRPr="00A95642">
              <w:rPr>
                <w:rFonts w:ascii="仿宋" w:eastAsia="仿宋" w:hAnsi="仿宋" w:cs="宋体"/>
                <w:sz w:val="28"/>
                <w:szCs w:val="28"/>
              </w:rPr>
              <w:t>技术规格及要求”</w:t>
            </w:r>
          </w:p>
        </w:tc>
      </w:tr>
      <w:tr w:rsidR="00D91C23" w:rsidRPr="00A95642" w:rsidTr="003F10E0">
        <w:trPr>
          <w:trHeight w:val="700"/>
        </w:trPr>
        <w:tc>
          <w:tcPr>
            <w:tcW w:w="924" w:type="dxa"/>
            <w:vMerge/>
            <w:vAlign w:val="center"/>
          </w:tcPr>
          <w:p w:rsidR="00D91C23" w:rsidRPr="00A95642" w:rsidRDefault="00D91C23" w:rsidP="003F10E0">
            <w:pPr>
              <w:rPr>
                <w:rFonts w:ascii="仿宋" w:eastAsia="仿宋" w:hAnsi="仿宋" w:cs="宋体"/>
                <w:sz w:val="28"/>
                <w:szCs w:val="28"/>
              </w:rPr>
            </w:pPr>
          </w:p>
        </w:tc>
        <w:tc>
          <w:tcPr>
            <w:tcW w:w="1078"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1-2</w:t>
            </w:r>
          </w:p>
        </w:tc>
        <w:tc>
          <w:tcPr>
            <w:tcW w:w="1804"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服务要求</w:t>
            </w:r>
          </w:p>
        </w:tc>
        <w:tc>
          <w:tcPr>
            <w:tcW w:w="1842"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w:t>
            </w:r>
          </w:p>
        </w:tc>
        <w:tc>
          <w:tcPr>
            <w:tcW w:w="3686" w:type="dxa"/>
            <w:vMerge/>
            <w:vAlign w:val="center"/>
          </w:tcPr>
          <w:p w:rsidR="00D91C23" w:rsidRPr="00A95642" w:rsidRDefault="00D91C23" w:rsidP="003F10E0">
            <w:pPr>
              <w:rPr>
                <w:rFonts w:ascii="仿宋" w:eastAsia="仿宋" w:hAnsi="仿宋" w:cs="宋体"/>
                <w:sz w:val="28"/>
                <w:szCs w:val="28"/>
              </w:rPr>
            </w:pPr>
          </w:p>
        </w:tc>
      </w:tr>
      <w:tr w:rsidR="00D91C23" w:rsidRPr="00A95642" w:rsidTr="003F10E0">
        <w:trPr>
          <w:trHeight w:val="720"/>
        </w:trPr>
        <w:tc>
          <w:tcPr>
            <w:tcW w:w="924" w:type="dxa"/>
            <w:vMerge/>
            <w:vAlign w:val="center"/>
          </w:tcPr>
          <w:p w:rsidR="00D91C23" w:rsidRPr="00A95642" w:rsidRDefault="00D91C23" w:rsidP="003F10E0">
            <w:pPr>
              <w:rPr>
                <w:rFonts w:ascii="仿宋" w:eastAsia="仿宋" w:hAnsi="仿宋" w:cs="宋体"/>
                <w:sz w:val="28"/>
                <w:szCs w:val="28"/>
              </w:rPr>
            </w:pPr>
          </w:p>
        </w:tc>
        <w:tc>
          <w:tcPr>
            <w:tcW w:w="1078"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1-3</w:t>
            </w:r>
          </w:p>
        </w:tc>
        <w:tc>
          <w:tcPr>
            <w:tcW w:w="1804"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其他要求</w:t>
            </w:r>
          </w:p>
        </w:tc>
        <w:tc>
          <w:tcPr>
            <w:tcW w:w="1842"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w:t>
            </w:r>
          </w:p>
        </w:tc>
        <w:tc>
          <w:tcPr>
            <w:tcW w:w="3686" w:type="dxa"/>
            <w:vMerge/>
            <w:vAlign w:val="center"/>
          </w:tcPr>
          <w:p w:rsidR="00D91C23" w:rsidRPr="00A95642" w:rsidRDefault="00D91C23" w:rsidP="003F10E0">
            <w:pPr>
              <w:rPr>
                <w:rFonts w:ascii="仿宋" w:eastAsia="仿宋" w:hAnsi="仿宋" w:cs="宋体"/>
                <w:sz w:val="28"/>
                <w:szCs w:val="28"/>
              </w:rPr>
            </w:pPr>
          </w:p>
        </w:tc>
      </w:tr>
    </w:tbl>
    <w:p w:rsidR="00D91C23" w:rsidRDefault="00D91C23" w:rsidP="00D91C23">
      <w:pPr>
        <w:spacing w:line="360" w:lineRule="auto"/>
        <w:rPr>
          <w:rFonts w:ascii="仿宋" w:eastAsia="仿宋" w:hAnsi="仿宋" w:cs="宋体"/>
          <w:b/>
          <w:bCs/>
          <w:sz w:val="28"/>
          <w:szCs w:val="28"/>
        </w:rPr>
      </w:pPr>
    </w:p>
    <w:p w:rsidR="00D91C23" w:rsidRPr="00B6381F" w:rsidRDefault="00D91C23" w:rsidP="00D91C23">
      <w:pPr>
        <w:spacing w:line="360" w:lineRule="auto"/>
        <w:outlineLvl w:val="0"/>
        <w:rPr>
          <w:rFonts w:ascii="仿宋" w:eastAsia="仿宋" w:hAnsi="仿宋" w:cs="宋体"/>
          <w:b/>
          <w:bCs/>
          <w:sz w:val="28"/>
          <w:szCs w:val="28"/>
        </w:rPr>
      </w:pPr>
      <w:r w:rsidRPr="00B6381F">
        <w:rPr>
          <w:rFonts w:ascii="仿宋" w:eastAsia="仿宋" w:hAnsi="仿宋" w:cs="宋体" w:hint="eastAsia"/>
          <w:b/>
          <w:bCs/>
          <w:sz w:val="28"/>
          <w:szCs w:val="28"/>
        </w:rPr>
        <w:lastRenderedPageBreak/>
        <w:t>三、</w:t>
      </w:r>
      <w:r w:rsidRPr="00B6381F">
        <w:rPr>
          <w:rFonts w:ascii="仿宋" w:eastAsia="仿宋" w:hAnsi="仿宋" w:cs="宋体"/>
          <w:b/>
          <w:bCs/>
          <w:sz w:val="28"/>
          <w:szCs w:val="28"/>
        </w:rPr>
        <w:t>产品技术规格及要求</w:t>
      </w:r>
    </w:p>
    <w:p w:rsidR="00D91C23" w:rsidRPr="00E559DA" w:rsidRDefault="00D91C23" w:rsidP="00D91C23">
      <w:pPr>
        <w:ind w:firstLineChars="200" w:firstLine="562"/>
        <w:rPr>
          <w:rFonts w:ascii="仿宋" w:eastAsia="仿宋" w:hAnsi="仿宋" w:cs="宋体"/>
          <w:b/>
          <w:sz w:val="28"/>
          <w:szCs w:val="28"/>
        </w:rPr>
      </w:pPr>
      <w:r w:rsidRPr="00E559DA">
        <w:rPr>
          <w:rFonts w:ascii="仿宋" w:eastAsia="仿宋" w:hAnsi="仿宋" w:cs="宋体" w:hint="eastAsia"/>
          <w:b/>
          <w:sz w:val="28"/>
          <w:szCs w:val="28"/>
        </w:rPr>
        <w:t>1.</w:t>
      </w:r>
      <w:proofErr w:type="gramStart"/>
      <w:r w:rsidRPr="00E559DA">
        <w:rPr>
          <w:rFonts w:ascii="仿宋" w:eastAsia="仿宋" w:hAnsi="仿宋" w:cs="宋体" w:hint="eastAsia"/>
          <w:b/>
          <w:sz w:val="28"/>
          <w:szCs w:val="28"/>
        </w:rPr>
        <w:t>工业网闸</w:t>
      </w:r>
      <w:proofErr w:type="gramEnd"/>
    </w:p>
    <w:tbl>
      <w:tblPr>
        <w:tblW w:w="934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71"/>
        <w:gridCol w:w="7371"/>
      </w:tblGrid>
      <w:tr w:rsidR="00D91C23" w:rsidRPr="00A95642" w:rsidTr="003F10E0">
        <w:trPr>
          <w:trHeight w:val="1186"/>
        </w:trPr>
        <w:tc>
          <w:tcPr>
            <w:tcW w:w="1971" w:type="dxa"/>
            <w:shd w:val="clear" w:color="auto" w:fill="FFFFFF" w:themeFill="background1"/>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技术指标</w:t>
            </w:r>
          </w:p>
        </w:tc>
        <w:tc>
          <w:tcPr>
            <w:tcW w:w="7371" w:type="dxa"/>
            <w:shd w:val="clear" w:color="auto" w:fill="FFFFFF" w:themeFill="background1"/>
            <w:vAlign w:val="center"/>
          </w:tcPr>
          <w:p w:rsidR="00D91C23" w:rsidRPr="00A95642" w:rsidRDefault="00D91C23" w:rsidP="003F10E0">
            <w:pPr>
              <w:jc w:val="center"/>
              <w:rPr>
                <w:rFonts w:ascii="仿宋" w:eastAsia="仿宋" w:hAnsi="仿宋" w:cs="宋体"/>
                <w:sz w:val="28"/>
                <w:szCs w:val="28"/>
              </w:rPr>
            </w:pPr>
            <w:r w:rsidRPr="00A95642">
              <w:rPr>
                <w:rFonts w:ascii="仿宋" w:eastAsia="仿宋" w:hAnsi="仿宋" w:cs="宋体"/>
                <w:sz w:val="28"/>
                <w:szCs w:val="28"/>
              </w:rPr>
              <w:t>技术要求</w:t>
            </w:r>
          </w:p>
        </w:tc>
      </w:tr>
      <w:tr w:rsidR="00D91C23" w:rsidRPr="00A95642" w:rsidTr="003F10E0">
        <w:trPr>
          <w:trHeight w:val="2498"/>
        </w:trPr>
        <w:tc>
          <w:tcPr>
            <w:tcW w:w="19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硬件要求</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★采用双主机架构，</w:t>
            </w:r>
            <w:r>
              <w:rPr>
                <w:rFonts w:ascii="仿宋" w:eastAsia="仿宋" w:hAnsi="仿宋" w:cs="宋体"/>
                <w:sz w:val="28"/>
                <w:szCs w:val="28"/>
              </w:rPr>
              <w:t>1U</w:t>
            </w:r>
            <w:r w:rsidRPr="00A95642">
              <w:rPr>
                <w:rFonts w:ascii="仿宋" w:eastAsia="仿宋" w:hAnsi="仿宋" w:cs="宋体"/>
                <w:sz w:val="28"/>
                <w:szCs w:val="28"/>
              </w:rPr>
              <w:t>标准机架式设备，单电源，提供不少于</w:t>
            </w:r>
            <w:r>
              <w:rPr>
                <w:rFonts w:ascii="仿宋" w:eastAsia="仿宋" w:hAnsi="仿宋" w:cs="宋体"/>
                <w:sz w:val="28"/>
                <w:szCs w:val="28"/>
              </w:rPr>
              <w:t>4</w:t>
            </w:r>
            <w:r w:rsidRPr="00A95642">
              <w:rPr>
                <w:rFonts w:ascii="仿宋" w:eastAsia="仿宋" w:hAnsi="仿宋" w:cs="宋体"/>
                <w:sz w:val="28"/>
                <w:szCs w:val="28"/>
              </w:rPr>
              <w:t>个</w:t>
            </w:r>
            <w:r>
              <w:rPr>
                <w:rFonts w:ascii="仿宋" w:eastAsia="仿宋" w:hAnsi="仿宋" w:cs="宋体"/>
                <w:sz w:val="28"/>
                <w:szCs w:val="28"/>
              </w:rPr>
              <w:t>10/100/1000MBASE-TX</w:t>
            </w:r>
            <w:r w:rsidRPr="00A95642">
              <w:rPr>
                <w:rFonts w:ascii="仿宋" w:eastAsia="仿宋" w:hAnsi="仿宋" w:cs="宋体"/>
                <w:sz w:val="28"/>
                <w:szCs w:val="28"/>
              </w:rPr>
              <w:t>内网接口，不少于</w:t>
            </w:r>
            <w:r>
              <w:rPr>
                <w:rFonts w:ascii="仿宋" w:eastAsia="仿宋" w:hAnsi="仿宋" w:cs="宋体"/>
                <w:sz w:val="28"/>
                <w:szCs w:val="28"/>
              </w:rPr>
              <w:t>4</w:t>
            </w:r>
            <w:r w:rsidRPr="00A95642">
              <w:rPr>
                <w:rFonts w:ascii="仿宋" w:eastAsia="仿宋" w:hAnsi="仿宋" w:cs="宋体"/>
                <w:sz w:val="28"/>
                <w:szCs w:val="28"/>
              </w:rPr>
              <w:t>个</w:t>
            </w:r>
            <w:r>
              <w:rPr>
                <w:rFonts w:ascii="仿宋" w:eastAsia="仿宋" w:hAnsi="仿宋" w:cs="宋体"/>
                <w:sz w:val="28"/>
                <w:szCs w:val="28"/>
              </w:rPr>
              <w:t>10/100/1000MBASE-TX</w:t>
            </w:r>
            <w:r w:rsidRPr="00A95642">
              <w:rPr>
                <w:rFonts w:ascii="仿宋" w:eastAsia="仿宋" w:hAnsi="仿宋" w:cs="宋体"/>
                <w:sz w:val="28"/>
                <w:szCs w:val="28"/>
              </w:rPr>
              <w:t>外网接口，不少于</w:t>
            </w:r>
            <w:r>
              <w:rPr>
                <w:rFonts w:ascii="仿宋" w:eastAsia="仿宋" w:hAnsi="仿宋" w:cs="宋体"/>
                <w:sz w:val="28"/>
                <w:szCs w:val="28"/>
              </w:rPr>
              <w:t>4</w:t>
            </w:r>
            <w:r w:rsidRPr="00A95642">
              <w:rPr>
                <w:rFonts w:ascii="仿宋" w:eastAsia="仿宋" w:hAnsi="仿宋" w:cs="宋体"/>
                <w:sz w:val="28"/>
                <w:szCs w:val="28"/>
              </w:rPr>
              <w:t>个</w:t>
            </w:r>
            <w:r>
              <w:rPr>
                <w:rFonts w:ascii="仿宋" w:eastAsia="仿宋" w:hAnsi="仿宋" w:cs="宋体"/>
                <w:sz w:val="28"/>
                <w:szCs w:val="28"/>
              </w:rPr>
              <w:t>USB2.0</w:t>
            </w:r>
            <w:r w:rsidRPr="00A95642">
              <w:rPr>
                <w:rFonts w:ascii="仿宋" w:eastAsia="仿宋" w:hAnsi="仿宋" w:cs="宋体"/>
                <w:sz w:val="28"/>
                <w:szCs w:val="28"/>
              </w:rPr>
              <w:t>接口，不少于</w:t>
            </w:r>
            <w:r>
              <w:rPr>
                <w:rFonts w:ascii="仿宋" w:eastAsia="仿宋" w:hAnsi="仿宋" w:cs="宋体"/>
                <w:sz w:val="28"/>
                <w:szCs w:val="28"/>
              </w:rPr>
              <w:t>2</w:t>
            </w:r>
            <w:r w:rsidRPr="00A95642">
              <w:rPr>
                <w:rFonts w:ascii="仿宋" w:eastAsia="仿宋" w:hAnsi="仿宋" w:cs="宋体"/>
                <w:sz w:val="28"/>
                <w:szCs w:val="28"/>
              </w:rPr>
              <w:t>个</w:t>
            </w:r>
            <w:r>
              <w:rPr>
                <w:rFonts w:ascii="仿宋" w:eastAsia="仿宋" w:hAnsi="仿宋" w:cs="宋体"/>
                <w:sz w:val="28"/>
                <w:szCs w:val="28"/>
              </w:rPr>
              <w:t>RJ45</w:t>
            </w:r>
            <w:r w:rsidRPr="00A95642">
              <w:rPr>
                <w:rFonts w:ascii="仿宋" w:eastAsia="仿宋" w:hAnsi="仿宋" w:cs="宋体"/>
                <w:sz w:val="28"/>
                <w:szCs w:val="28"/>
              </w:rPr>
              <w:t>串口，吞吐量不少于300Mbps，最大并发连接数不少于</w:t>
            </w:r>
            <w:r>
              <w:rPr>
                <w:rFonts w:ascii="仿宋" w:eastAsia="仿宋" w:hAnsi="仿宋" w:cs="宋体"/>
                <w:sz w:val="28"/>
                <w:szCs w:val="28"/>
              </w:rPr>
              <w:t>5</w:t>
            </w:r>
            <w:r w:rsidRPr="00A95642">
              <w:rPr>
                <w:rFonts w:ascii="仿宋" w:eastAsia="仿宋" w:hAnsi="仿宋" w:cs="宋体"/>
                <w:sz w:val="28"/>
                <w:szCs w:val="28"/>
              </w:rPr>
              <w:t>万，系统延迟&lt;1ms；开关切换时间&lt;10ns。</w:t>
            </w:r>
          </w:p>
        </w:tc>
      </w:tr>
      <w:tr w:rsidR="00D91C23" w:rsidRPr="00A95642" w:rsidTr="003F10E0">
        <w:trPr>
          <w:trHeight w:val="1116"/>
        </w:trPr>
        <w:tc>
          <w:tcPr>
            <w:tcW w:w="1971" w:type="dxa"/>
            <w:vMerge w:val="restart"/>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系统架构</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1、采用</w:t>
            </w:r>
            <w:r>
              <w:rPr>
                <w:rFonts w:ascii="仿宋" w:eastAsia="仿宋" w:hAnsi="仿宋" w:cs="宋体"/>
                <w:sz w:val="28"/>
                <w:szCs w:val="28"/>
              </w:rPr>
              <w:t>2+1</w:t>
            </w:r>
            <w:r w:rsidRPr="00A95642">
              <w:rPr>
                <w:rFonts w:ascii="仿宋" w:eastAsia="仿宋" w:hAnsi="仿宋" w:cs="宋体"/>
                <w:sz w:val="28"/>
                <w:szCs w:val="28"/>
              </w:rPr>
              <w:t>系统架构即内网单元+外网单元</w:t>
            </w:r>
            <w:r>
              <w:rPr>
                <w:rFonts w:ascii="仿宋" w:eastAsia="仿宋" w:hAnsi="仿宋" w:cs="宋体"/>
                <w:sz w:val="28"/>
                <w:szCs w:val="28"/>
              </w:rPr>
              <w:t>+FPGA</w:t>
            </w:r>
            <w:r w:rsidRPr="00A95642">
              <w:rPr>
                <w:rFonts w:ascii="仿宋" w:eastAsia="仿宋" w:hAnsi="仿宋" w:cs="宋体"/>
                <w:sz w:val="28"/>
                <w:szCs w:val="28"/>
              </w:rPr>
              <w:t>专用隔离硬件。不能采用网线等形式直通。</w:t>
            </w:r>
          </w:p>
        </w:tc>
      </w:tr>
      <w:tr w:rsidR="00D91C23" w:rsidRPr="00A95642" w:rsidTr="003F10E0">
        <w:trPr>
          <w:trHeight w:val="976"/>
        </w:trPr>
        <w:tc>
          <w:tcPr>
            <w:tcW w:w="1971" w:type="dxa"/>
            <w:vMerge/>
            <w:tcBorders>
              <w:top w:val="nil"/>
            </w:tcBorders>
            <w:vAlign w:val="center"/>
          </w:tcPr>
          <w:p w:rsidR="00D91C23" w:rsidRPr="00A95642" w:rsidRDefault="00D91C23" w:rsidP="003F10E0">
            <w:pPr>
              <w:rPr>
                <w:rFonts w:ascii="仿宋" w:eastAsia="仿宋" w:hAnsi="仿宋" w:cs="宋体"/>
                <w:sz w:val="28"/>
                <w:szCs w:val="28"/>
              </w:rPr>
            </w:pP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2、采用基于</w:t>
            </w:r>
            <w:r>
              <w:rPr>
                <w:rFonts w:ascii="仿宋" w:eastAsia="仿宋" w:hAnsi="仿宋" w:cs="宋体" w:hint="eastAsia"/>
                <w:sz w:val="28"/>
                <w:szCs w:val="28"/>
              </w:rPr>
              <w:t xml:space="preserve"> </w:t>
            </w:r>
            <w:proofErr w:type="spellStart"/>
            <w:r w:rsidRPr="00A95642">
              <w:rPr>
                <w:rFonts w:ascii="仿宋" w:eastAsia="仿宋" w:hAnsi="仿宋" w:cs="宋体"/>
                <w:sz w:val="28"/>
                <w:szCs w:val="28"/>
              </w:rPr>
              <w:t>linux</w:t>
            </w:r>
            <w:proofErr w:type="spellEnd"/>
            <w:r>
              <w:rPr>
                <w:rFonts w:ascii="仿宋" w:eastAsia="仿宋" w:hAnsi="仿宋" w:cs="宋体" w:hint="eastAsia"/>
                <w:sz w:val="28"/>
                <w:szCs w:val="28"/>
              </w:rPr>
              <w:t xml:space="preserve"> </w:t>
            </w:r>
            <w:r w:rsidRPr="00A95642">
              <w:rPr>
                <w:rFonts w:ascii="仿宋" w:eastAsia="仿宋" w:hAnsi="仿宋" w:cs="宋体"/>
                <w:sz w:val="28"/>
                <w:szCs w:val="28"/>
              </w:rPr>
              <w:t>内核的多核多线程专用安全操作系统，加固内核。</w:t>
            </w:r>
          </w:p>
        </w:tc>
      </w:tr>
      <w:tr w:rsidR="00D91C23" w:rsidRPr="00A95642" w:rsidTr="003F10E0">
        <w:trPr>
          <w:trHeight w:val="620"/>
        </w:trPr>
        <w:tc>
          <w:tcPr>
            <w:tcW w:w="19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部署模式</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▲设备支持透明、代理及路由三种工作模式，管理员可依据实际网络状况进行相应的部署。（需提供相关证明材料并加盖厂商公章）</w:t>
            </w:r>
          </w:p>
        </w:tc>
      </w:tr>
      <w:tr w:rsidR="00D91C23" w:rsidRPr="00A95642" w:rsidTr="003F10E0">
        <w:trPr>
          <w:trHeight w:val="300"/>
        </w:trPr>
        <w:tc>
          <w:tcPr>
            <w:tcW w:w="19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双</w:t>
            </w:r>
            <w:proofErr w:type="gramStart"/>
            <w:r w:rsidRPr="00A95642">
              <w:rPr>
                <w:rFonts w:ascii="仿宋" w:eastAsia="仿宋" w:hAnsi="仿宋" w:cs="宋体"/>
                <w:sz w:val="28"/>
                <w:szCs w:val="28"/>
              </w:rPr>
              <w:t>机热备</w:t>
            </w:r>
            <w:proofErr w:type="gramEnd"/>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支持双</w:t>
            </w:r>
            <w:proofErr w:type="gramStart"/>
            <w:r w:rsidRPr="00A95642">
              <w:rPr>
                <w:rFonts w:ascii="仿宋" w:eastAsia="仿宋" w:hAnsi="仿宋" w:cs="宋体"/>
                <w:sz w:val="28"/>
                <w:szCs w:val="28"/>
              </w:rPr>
              <w:t>机热备及多机热备</w:t>
            </w:r>
            <w:proofErr w:type="gramEnd"/>
            <w:r w:rsidRPr="00A95642">
              <w:rPr>
                <w:rFonts w:ascii="仿宋" w:eastAsia="仿宋" w:hAnsi="仿宋" w:cs="宋体"/>
                <w:sz w:val="28"/>
                <w:szCs w:val="28"/>
              </w:rPr>
              <w:t>功能，最大化的保障业务可用性。</w:t>
            </w:r>
          </w:p>
        </w:tc>
      </w:tr>
      <w:tr w:rsidR="00D91C23" w:rsidRPr="00A95642" w:rsidTr="003F10E0">
        <w:trPr>
          <w:trHeight w:val="920"/>
        </w:trPr>
        <w:tc>
          <w:tcPr>
            <w:tcW w:w="19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内置模块</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系统内置安全浏览、邮件发送、文件同步、工业电视、实时数据库、关系数据库、OPC.DA、OPC.UA、MODBUS、S7、IEC-61850、IEC-101、IEC-104、MMS、DNP3、电力无反馈、组播代理、用户自定义等应用模块,并可控制协议的</w:t>
            </w:r>
            <w:proofErr w:type="gramStart"/>
            <w:r w:rsidRPr="00A95642">
              <w:rPr>
                <w:rFonts w:ascii="仿宋" w:eastAsia="仿宋" w:hAnsi="仿宋" w:cs="宋体"/>
                <w:sz w:val="28"/>
                <w:szCs w:val="28"/>
              </w:rPr>
              <w:t>的</w:t>
            </w:r>
            <w:proofErr w:type="gramEnd"/>
            <w:r w:rsidRPr="00A95642">
              <w:rPr>
                <w:rFonts w:ascii="仿宋" w:eastAsia="仿宋" w:hAnsi="仿宋" w:cs="宋体"/>
                <w:sz w:val="28"/>
                <w:szCs w:val="28"/>
              </w:rPr>
              <w:t>动作、参数、内容。</w:t>
            </w:r>
          </w:p>
        </w:tc>
      </w:tr>
      <w:tr w:rsidR="00D91C23" w:rsidRPr="00A95642" w:rsidTr="003F10E0">
        <w:trPr>
          <w:trHeight w:val="300"/>
        </w:trPr>
        <w:tc>
          <w:tcPr>
            <w:tcW w:w="1971" w:type="dxa"/>
            <w:vMerge w:val="restart"/>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lastRenderedPageBreak/>
              <w:t>OPC模块</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支持DCS/SCADA生产网络与办公网络之间的OPC应用数据的传输。</w:t>
            </w:r>
          </w:p>
        </w:tc>
      </w:tr>
      <w:tr w:rsidR="00D91C23" w:rsidRPr="00A95642" w:rsidTr="003F10E0">
        <w:trPr>
          <w:trHeight w:val="620"/>
        </w:trPr>
        <w:tc>
          <w:tcPr>
            <w:tcW w:w="1971" w:type="dxa"/>
            <w:vMerge/>
            <w:tcBorders>
              <w:top w:val="nil"/>
            </w:tcBorders>
            <w:vAlign w:val="center"/>
          </w:tcPr>
          <w:p w:rsidR="00D91C23" w:rsidRPr="00A95642" w:rsidRDefault="00D91C23" w:rsidP="003F10E0">
            <w:pPr>
              <w:rPr>
                <w:rFonts w:ascii="仿宋" w:eastAsia="仿宋" w:hAnsi="仿宋" w:cs="宋体"/>
                <w:sz w:val="28"/>
                <w:szCs w:val="28"/>
              </w:rPr>
            </w:pP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支持同步、异步监测数据的传输，只需要绑定固定的一个起始端口即可满足动态的数据端口的数据传输。可控制OPC方法，如只允许读取，不允许写操作等。</w:t>
            </w:r>
          </w:p>
        </w:tc>
      </w:tr>
      <w:tr w:rsidR="00D91C23" w:rsidRPr="00A95642" w:rsidTr="003F10E0">
        <w:trPr>
          <w:trHeight w:val="687"/>
        </w:trPr>
        <w:tc>
          <w:tcPr>
            <w:tcW w:w="1971" w:type="dxa"/>
            <w:vMerge/>
            <w:tcBorders>
              <w:top w:val="nil"/>
            </w:tcBorders>
            <w:vAlign w:val="center"/>
          </w:tcPr>
          <w:p w:rsidR="00D91C23" w:rsidRPr="00A95642" w:rsidRDefault="00D91C23" w:rsidP="003F10E0">
            <w:pPr>
              <w:rPr>
                <w:rFonts w:ascii="仿宋" w:eastAsia="仿宋" w:hAnsi="仿宋" w:cs="宋体"/>
                <w:sz w:val="28"/>
                <w:szCs w:val="28"/>
              </w:rPr>
            </w:pP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支持OPCDA\OPCUA两种规范。</w:t>
            </w:r>
          </w:p>
        </w:tc>
      </w:tr>
      <w:tr w:rsidR="00D91C23" w:rsidRPr="00A95642" w:rsidTr="003F10E0">
        <w:trPr>
          <w:trHeight w:val="1541"/>
        </w:trPr>
        <w:tc>
          <w:tcPr>
            <w:tcW w:w="19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MODBUS模块</w:t>
            </w:r>
          </w:p>
        </w:tc>
        <w:tc>
          <w:tcPr>
            <w:tcW w:w="7371" w:type="dxa"/>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支持MODBUS协议传输代理模块，可按照用户需求控制具体功能代码及值域等参数，比如只允许读取，不能设置，只允许设置某一线圈的值在某个范围等。</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DNP3模块</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支持DNP3协议传输代理模块，可按照应用需求控制具体功能代码，比如只允许读取，不能设置，只允许设置某一变程在某一范围等。</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S7模块</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支持西门子的S7控制协议传输代理模块，可按照用户需求控制具体功能代码，比如只允许读取，不能控制等。</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电力无反馈</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支持TCP应用层数据单向传输的控制，保证TCP应用数据的0反馈或1bit反馈，以满足二次防护对数据传输的安全性需求。</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实时数据库</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支持实时数据库代理。</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文件交换</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支持多种文件协议，在主流FUNC等机床与生产管理网络传输图纸信息，并可设置过滤图纸文件格式。</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1971" w:type="dxa"/>
            <w:vMerge w:val="restart"/>
            <w:tcBorders>
              <w:top w:val="single" w:sz="6" w:space="0" w:color="000000"/>
              <w:left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视频应用</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兼容主流视频传输及控制协议。</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vMerge/>
            <w:tcBorders>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支持GB28181视频通信国家标准。</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vMerge w:val="restart"/>
            <w:tcBorders>
              <w:top w:val="single" w:sz="6" w:space="0" w:color="000000"/>
              <w:left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关系型数据库</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支持Oracle、</w:t>
            </w:r>
            <w:proofErr w:type="spellStart"/>
            <w:r w:rsidRPr="00A95642">
              <w:rPr>
                <w:rFonts w:ascii="仿宋" w:eastAsia="仿宋" w:hAnsi="仿宋" w:cs="宋体"/>
                <w:sz w:val="28"/>
                <w:szCs w:val="28"/>
              </w:rPr>
              <w:t>Sqlserver</w:t>
            </w:r>
            <w:proofErr w:type="spellEnd"/>
            <w:r w:rsidRPr="00A95642">
              <w:rPr>
                <w:rFonts w:ascii="仿宋" w:eastAsia="仿宋" w:hAnsi="仿宋" w:cs="宋体"/>
                <w:sz w:val="28"/>
                <w:szCs w:val="28"/>
              </w:rPr>
              <w:t>、</w:t>
            </w:r>
            <w:proofErr w:type="spellStart"/>
            <w:r w:rsidRPr="00A95642">
              <w:rPr>
                <w:rFonts w:ascii="仿宋" w:eastAsia="仿宋" w:hAnsi="仿宋" w:cs="宋体"/>
                <w:sz w:val="28"/>
                <w:szCs w:val="28"/>
              </w:rPr>
              <w:t>Mysql</w:t>
            </w:r>
            <w:proofErr w:type="spellEnd"/>
            <w:r w:rsidRPr="00A95642">
              <w:rPr>
                <w:rFonts w:ascii="仿宋" w:eastAsia="仿宋" w:hAnsi="仿宋" w:cs="宋体"/>
                <w:sz w:val="28"/>
                <w:szCs w:val="28"/>
              </w:rPr>
              <w:t>、Sybase、DB2等主流数据库。</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971" w:type="dxa"/>
            <w:vMerge/>
            <w:tcBorders>
              <w:left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w:t>
            </w:r>
            <w:proofErr w:type="gramStart"/>
            <w:r w:rsidRPr="00A95642">
              <w:rPr>
                <w:rFonts w:ascii="仿宋" w:eastAsia="仿宋" w:hAnsi="仿宋" w:cs="宋体"/>
                <w:sz w:val="28"/>
                <w:szCs w:val="28"/>
              </w:rPr>
              <w:t>国产达梦数据库</w:t>
            </w:r>
            <w:proofErr w:type="gramEnd"/>
            <w:r w:rsidRPr="00A95642">
              <w:rPr>
                <w:rFonts w:ascii="仿宋" w:eastAsia="仿宋" w:hAnsi="仿宋" w:cs="宋体"/>
                <w:sz w:val="28"/>
                <w:szCs w:val="28"/>
              </w:rPr>
              <w:t>、</w:t>
            </w:r>
            <w:proofErr w:type="gramStart"/>
            <w:r w:rsidRPr="00A95642">
              <w:rPr>
                <w:rFonts w:ascii="仿宋" w:eastAsia="仿宋" w:hAnsi="仿宋" w:cs="宋体"/>
                <w:sz w:val="28"/>
                <w:szCs w:val="28"/>
              </w:rPr>
              <w:t>人大金</w:t>
            </w:r>
            <w:proofErr w:type="gramEnd"/>
            <w:r w:rsidRPr="00A95642">
              <w:rPr>
                <w:rFonts w:ascii="仿宋" w:eastAsia="仿宋" w:hAnsi="仿宋" w:cs="宋体"/>
                <w:sz w:val="28"/>
                <w:szCs w:val="28"/>
              </w:rPr>
              <w:t>仓数据库。</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1971" w:type="dxa"/>
            <w:vMerge/>
            <w:tcBorders>
              <w:left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支持同构、异构数据库之间的数据同步。</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1971" w:type="dxa"/>
            <w:vMerge/>
            <w:tcBorders>
              <w:left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w:t>
            </w:r>
            <w:proofErr w:type="gramStart"/>
            <w:r w:rsidRPr="00A95642">
              <w:rPr>
                <w:rFonts w:ascii="仿宋" w:eastAsia="仿宋" w:hAnsi="仿宋" w:cs="宋体"/>
                <w:sz w:val="28"/>
                <w:szCs w:val="28"/>
              </w:rPr>
              <w:t>字段级</w:t>
            </w:r>
            <w:proofErr w:type="gramEnd"/>
            <w:r w:rsidRPr="00A95642">
              <w:rPr>
                <w:rFonts w:ascii="仿宋" w:eastAsia="仿宋" w:hAnsi="仿宋" w:cs="宋体"/>
                <w:sz w:val="28"/>
                <w:szCs w:val="28"/>
              </w:rPr>
              <w:t>的数据同步，支持BLOB、TEXT等大字段。</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971" w:type="dxa"/>
            <w:vMerge/>
            <w:tcBorders>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支持单向同步和双向同步。</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组播代理模块</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支持PIM协议。</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工控自定制应用</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支持TCP/IP以上的应用层协议，支持自定义的基于TCP、UDP协议的工控数据隔离交换，以用户定制的命令、参数等协议解析方式来解析自定义工控应用的通信内容。</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管理接口</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proofErr w:type="gramStart"/>
            <w:r w:rsidRPr="00A95642">
              <w:rPr>
                <w:rFonts w:ascii="仿宋" w:eastAsia="仿宋" w:hAnsi="仿宋" w:cs="宋体"/>
                <w:sz w:val="28"/>
                <w:szCs w:val="28"/>
              </w:rPr>
              <w:t>外网端不</w:t>
            </w:r>
            <w:proofErr w:type="gramEnd"/>
            <w:r w:rsidRPr="00A95642">
              <w:rPr>
                <w:rFonts w:ascii="仿宋" w:eastAsia="仿宋" w:hAnsi="仿宋" w:cs="宋体"/>
                <w:sz w:val="28"/>
                <w:szCs w:val="28"/>
              </w:rPr>
              <w:t>允许配置任何形式的管理接口，所有管理配置操作均通过专用的网关内网可信</w:t>
            </w:r>
            <w:proofErr w:type="gramStart"/>
            <w:r w:rsidRPr="00A95642">
              <w:rPr>
                <w:rFonts w:ascii="仿宋" w:eastAsia="仿宋" w:hAnsi="仿宋" w:cs="宋体"/>
                <w:sz w:val="28"/>
                <w:szCs w:val="28"/>
              </w:rPr>
              <w:t>端管理</w:t>
            </w:r>
            <w:proofErr w:type="gramEnd"/>
            <w:r w:rsidRPr="00A95642">
              <w:rPr>
                <w:rFonts w:ascii="仿宋" w:eastAsia="仿宋" w:hAnsi="仿宋" w:cs="宋体"/>
                <w:sz w:val="28"/>
                <w:szCs w:val="28"/>
              </w:rPr>
              <w:t>接口进行配置。</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管理用户</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采取系统策略配置管理员、安全管理员与日志管理员三种角色分立的权限分配模式，用户只能维护操作本类基础管理角色的功能与操作，权限各不交叉。</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时间模式</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▲支持根据时间自动切换的安全策略。支持时间段以24小时制，支持以星期为周期，支持指定时间点一次性运行；（需提供相关证明材料并加盖厂商公章）</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诊断工具</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系统提供</w:t>
            </w:r>
            <w:proofErr w:type="spellStart"/>
            <w:r w:rsidRPr="00A95642">
              <w:rPr>
                <w:rFonts w:ascii="仿宋" w:eastAsia="仿宋" w:hAnsi="仿宋" w:cs="宋体"/>
                <w:sz w:val="28"/>
                <w:szCs w:val="28"/>
              </w:rPr>
              <w:t>ping,traceroute,TCP</w:t>
            </w:r>
            <w:proofErr w:type="spellEnd"/>
            <w:r w:rsidRPr="00A95642">
              <w:rPr>
                <w:rFonts w:ascii="仿宋" w:eastAsia="仿宋" w:hAnsi="仿宋" w:cs="宋体"/>
                <w:sz w:val="28"/>
                <w:szCs w:val="28"/>
              </w:rPr>
              <w:t>端口探测、抓包等工具方便管理员在配置策略或调整网络时排查问题。（需提供相关证明材料并加盖厂商公章）</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lastRenderedPageBreak/>
              <w:t>安全管理</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▲管理口无IP地址，采用专用控制台软件才能搜索到设备，并管理设备。图形化管理界面简单易操作，管理员分级管理的集中设备管理方式。（需提供相关证明材料并</w:t>
            </w:r>
          </w:p>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加盖厂商公章）系统同时支持加密的WEB方式管理。</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日志审计</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系统可存储和审计包含：系统日志；管理日志；网络活动日志；入侵报警及处理日志；访问控制日志。</w:t>
            </w:r>
          </w:p>
        </w:tc>
      </w:tr>
      <w:tr w:rsidR="00D91C23" w:rsidRPr="00A95642" w:rsidTr="003F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9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资质证书</w:t>
            </w:r>
          </w:p>
        </w:tc>
        <w:tc>
          <w:tcPr>
            <w:tcW w:w="7371" w:type="dxa"/>
            <w:tcBorders>
              <w:top w:val="single" w:sz="6" w:space="0" w:color="000000"/>
              <w:left w:val="single" w:sz="6" w:space="0" w:color="000000"/>
              <w:bottom w:val="single" w:sz="6" w:space="0" w:color="000000"/>
              <w:right w:val="single" w:sz="6" w:space="0" w:color="000000"/>
            </w:tcBorders>
            <w:vAlign w:val="center"/>
          </w:tcPr>
          <w:p w:rsidR="00D91C23" w:rsidRPr="00A95642" w:rsidRDefault="00D91C23" w:rsidP="003F10E0">
            <w:pPr>
              <w:rPr>
                <w:rFonts w:ascii="仿宋" w:eastAsia="仿宋" w:hAnsi="仿宋" w:cs="宋体"/>
                <w:sz w:val="28"/>
                <w:szCs w:val="28"/>
              </w:rPr>
            </w:pPr>
            <w:r w:rsidRPr="00A95642">
              <w:rPr>
                <w:rFonts w:ascii="仿宋" w:eastAsia="仿宋" w:hAnsi="仿宋" w:cs="宋体"/>
                <w:sz w:val="28"/>
                <w:szCs w:val="28"/>
              </w:rPr>
              <w:t>▲提供具备工业名称描述的产品销售许可证。（需提供相关证明材料并加盖厂商公章）</w:t>
            </w:r>
          </w:p>
        </w:tc>
      </w:tr>
    </w:tbl>
    <w:p w:rsidR="00D91C23" w:rsidRPr="00E559DA" w:rsidRDefault="00D91C23" w:rsidP="00D91C23">
      <w:pPr>
        <w:spacing w:line="360" w:lineRule="auto"/>
        <w:ind w:firstLineChars="200" w:firstLine="562"/>
        <w:rPr>
          <w:rFonts w:ascii="仿宋" w:eastAsia="仿宋" w:hAnsi="仿宋" w:cs="宋体"/>
          <w:b/>
          <w:sz w:val="28"/>
          <w:szCs w:val="28"/>
        </w:rPr>
      </w:pPr>
      <w:r w:rsidRPr="00E559DA">
        <w:rPr>
          <w:rFonts w:ascii="仿宋" w:eastAsia="仿宋" w:hAnsi="仿宋" w:cs="宋体" w:hint="eastAsia"/>
          <w:b/>
          <w:sz w:val="28"/>
          <w:szCs w:val="28"/>
        </w:rPr>
        <w:t>2.服务要求</w:t>
      </w:r>
    </w:p>
    <w:p w:rsidR="00D91C23" w:rsidRPr="00A95642"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1）中标人应根据采购人指定的地点提供免费送货、安装、调试、培训服务。</w:t>
      </w:r>
    </w:p>
    <w:p w:rsidR="00D91C23" w:rsidRPr="00A95642"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2）中标人应免费为采购人的技术人员提供维护产品的现场操作、使用及维护的技术培训服务，投标人应将所有培训费用（</w:t>
      </w:r>
      <w:proofErr w:type="gramStart"/>
      <w:r w:rsidRPr="00A95642">
        <w:rPr>
          <w:rFonts w:ascii="仿宋" w:eastAsia="仿宋" w:hAnsi="仿宋" w:cs="宋体" w:hint="eastAsia"/>
          <w:sz w:val="28"/>
          <w:szCs w:val="28"/>
        </w:rPr>
        <w:t>含培训</w:t>
      </w:r>
      <w:proofErr w:type="gramEnd"/>
      <w:r w:rsidRPr="00A95642">
        <w:rPr>
          <w:rFonts w:ascii="仿宋" w:eastAsia="仿宋" w:hAnsi="仿宋" w:cs="宋体" w:hint="eastAsia"/>
          <w:sz w:val="28"/>
          <w:szCs w:val="28"/>
        </w:rPr>
        <w:t>教材费）计入总价。</w:t>
      </w:r>
    </w:p>
    <w:p w:rsidR="00D91C23" w:rsidRPr="00A95642"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3）投标人应按照本采购项目特点提供长期良好的售后服务，并在投标文件中提供详细具体的服务承诺条款及保证，投标人应提供详细的服务承诺且不得低于原生产厂家的质保规定，投标人应提供服务内容的承诺书原件。</w:t>
      </w:r>
    </w:p>
    <w:p w:rsidR="00D91C23" w:rsidRPr="00A95642"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4）本次招标要求整体项目提供自验收合格之日起至少叁年质保期，若产品出现质量问题，须2小时内响应、8小时内修复；特殊情况在8小时内无法恢复的，质保期内中标人应予以更换新产品、提供代用产品或使产品可正常使用的措施。</w:t>
      </w:r>
    </w:p>
    <w:p w:rsidR="00D91C23"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lastRenderedPageBreak/>
        <w:t>5）质保期满后，中标人应提供配件、技术咨询、有偿维修等服务。出现故障时中标人应及时响应，并在8小时内派技术人员到现场解决故障；如需更换零配件的，零配件的价格以当时所处市场价格核收。</w:t>
      </w:r>
    </w:p>
    <w:p w:rsidR="00D91C23" w:rsidRDefault="00D91C23" w:rsidP="00D91C23">
      <w:pPr>
        <w:spacing w:line="360" w:lineRule="auto"/>
        <w:ind w:firstLineChars="196" w:firstLine="551"/>
        <w:outlineLvl w:val="0"/>
        <w:rPr>
          <w:rFonts w:ascii="仿宋" w:eastAsia="仿宋" w:hAnsi="仿宋" w:cs="宋体"/>
          <w:b/>
          <w:sz w:val="28"/>
          <w:szCs w:val="28"/>
        </w:rPr>
      </w:pPr>
      <w:r w:rsidRPr="00E559DA">
        <w:rPr>
          <w:rFonts w:ascii="仿宋" w:eastAsia="仿宋" w:hAnsi="仿宋" w:cs="宋体" w:hint="eastAsia"/>
          <w:b/>
          <w:sz w:val="28"/>
          <w:szCs w:val="28"/>
        </w:rPr>
        <w:t>3.其他要求</w:t>
      </w:r>
    </w:p>
    <w:p w:rsidR="00D91C23" w:rsidRPr="00A95642"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踏勘现场：由于本项目投标产品是用于现有工控系统环境，为确保业务稳定，投标人须实地了解采购人目前的环境现状，包括已建设的安全设备硬件情况、网络环境等因素，要求投标人在投标时投标书正本体现现场踏勘确认书原件，踏勘确认书须经用户确认（现场联系人签字）已到实地了解，否则视为无效投标。</w:t>
      </w:r>
    </w:p>
    <w:p w:rsidR="00D91C23" w:rsidRDefault="00D91C23" w:rsidP="00D91C23">
      <w:pPr>
        <w:spacing w:line="360" w:lineRule="auto"/>
        <w:ind w:firstLineChars="250" w:firstLine="700"/>
        <w:rPr>
          <w:rFonts w:ascii="仿宋" w:eastAsia="仿宋" w:hAnsi="仿宋" w:cs="宋体"/>
          <w:sz w:val="28"/>
          <w:szCs w:val="28"/>
        </w:rPr>
      </w:pPr>
      <w:r w:rsidRPr="00A95642">
        <w:rPr>
          <w:rFonts w:ascii="仿宋" w:eastAsia="仿宋" w:hAnsi="仿宋" w:cs="宋体" w:hint="eastAsia"/>
          <w:sz w:val="28"/>
          <w:szCs w:val="28"/>
        </w:rPr>
        <w:t>现场调研联系人：</w:t>
      </w:r>
      <w:proofErr w:type="gramStart"/>
      <w:r>
        <w:rPr>
          <w:rFonts w:ascii="仿宋" w:eastAsia="仿宋" w:hAnsi="仿宋" w:cs="宋体" w:hint="eastAsia"/>
          <w:sz w:val="28"/>
          <w:szCs w:val="28"/>
        </w:rPr>
        <w:t>吴绿滨</w:t>
      </w:r>
      <w:proofErr w:type="gramEnd"/>
      <w:r w:rsidRPr="00A95642">
        <w:rPr>
          <w:rFonts w:ascii="仿宋" w:eastAsia="仿宋" w:hAnsi="仿宋" w:cs="宋体" w:hint="eastAsia"/>
          <w:sz w:val="28"/>
          <w:szCs w:val="28"/>
        </w:rPr>
        <w:t>；联系电话：</w:t>
      </w:r>
      <w:r w:rsidRPr="00A25C3A">
        <w:rPr>
          <w:rFonts w:ascii="仿宋" w:eastAsia="仿宋" w:hAnsi="仿宋" w:cs="宋体"/>
          <w:sz w:val="28"/>
          <w:szCs w:val="28"/>
        </w:rPr>
        <w:t>15160714114</w:t>
      </w:r>
      <w:r w:rsidRPr="00A95642">
        <w:rPr>
          <w:rFonts w:ascii="仿宋" w:eastAsia="仿宋" w:hAnsi="仿宋" w:cs="宋体" w:hint="eastAsia"/>
          <w:sz w:val="28"/>
          <w:szCs w:val="28"/>
        </w:rPr>
        <w:t>。</w:t>
      </w:r>
    </w:p>
    <w:p w:rsidR="00D91C23" w:rsidRPr="00A95642" w:rsidRDefault="00D91C23" w:rsidP="00D91C23">
      <w:pPr>
        <w:spacing w:line="360" w:lineRule="auto"/>
        <w:ind w:firstLineChars="250" w:firstLine="700"/>
        <w:rPr>
          <w:rFonts w:ascii="仿宋" w:eastAsia="仿宋" w:hAnsi="仿宋" w:cs="宋体"/>
          <w:sz w:val="28"/>
          <w:szCs w:val="28"/>
        </w:rPr>
      </w:pPr>
      <w:r>
        <w:rPr>
          <w:rFonts w:ascii="仿宋" w:eastAsia="仿宋" w:hAnsi="仿宋" w:cs="宋体" w:hint="eastAsia"/>
          <w:sz w:val="28"/>
          <w:szCs w:val="28"/>
        </w:rPr>
        <w:t xml:space="preserve">                </w:t>
      </w:r>
      <w:proofErr w:type="gramStart"/>
      <w:r w:rsidRPr="00A95642">
        <w:rPr>
          <w:rFonts w:ascii="仿宋" w:eastAsia="仿宋" w:hAnsi="仿宋" w:cs="宋体" w:hint="eastAsia"/>
          <w:sz w:val="28"/>
          <w:szCs w:val="28"/>
        </w:rPr>
        <w:t>罗宽虎</w:t>
      </w:r>
      <w:proofErr w:type="gramEnd"/>
      <w:r w:rsidRPr="00A95642">
        <w:rPr>
          <w:rFonts w:ascii="仿宋" w:eastAsia="仿宋" w:hAnsi="仿宋" w:cs="宋体" w:hint="eastAsia"/>
          <w:sz w:val="28"/>
          <w:szCs w:val="28"/>
        </w:rPr>
        <w:t>；联系电话：17706963588。</w:t>
      </w:r>
    </w:p>
    <w:p w:rsidR="00D91C23" w:rsidRPr="00A95642" w:rsidRDefault="00D91C23" w:rsidP="00D91C23">
      <w:pPr>
        <w:spacing w:line="360" w:lineRule="auto"/>
        <w:rPr>
          <w:rFonts w:ascii="仿宋" w:eastAsia="仿宋" w:hAnsi="仿宋" w:cs="宋体"/>
          <w:sz w:val="28"/>
          <w:szCs w:val="28"/>
        </w:rPr>
      </w:pPr>
    </w:p>
    <w:p w:rsidR="00D91C23" w:rsidRPr="00A95642" w:rsidRDefault="00D91C23" w:rsidP="00D91C23">
      <w:pPr>
        <w:spacing w:line="360" w:lineRule="auto"/>
        <w:rPr>
          <w:rFonts w:ascii="仿宋" w:eastAsia="仿宋" w:hAnsi="仿宋" w:cs="宋体"/>
          <w:sz w:val="28"/>
          <w:szCs w:val="28"/>
        </w:rPr>
      </w:pPr>
    </w:p>
    <w:p w:rsidR="005B2EB6" w:rsidRDefault="005B2EB6"/>
    <w:sectPr w:rsidR="005B2EB6" w:rsidSect="005B2E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1C23"/>
    <w:rsid w:val="005B2EB6"/>
    <w:rsid w:val="00A77ACA"/>
    <w:rsid w:val="00D91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424</Words>
  <Characters>2421</Characters>
  <Application>Microsoft Office Word</Application>
  <DocSecurity>0</DocSecurity>
  <Lines>20</Lines>
  <Paragraphs>5</Paragraphs>
  <ScaleCrop>false</ScaleCrop>
  <Company>Microsoft</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2020-11-23T06:56:00Z</dcterms:created>
  <dcterms:modified xsi:type="dcterms:W3CDTF">2020-11-23T06:57:00Z</dcterms:modified>
</cp:coreProperties>
</file>